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507185                                                          </w:t>
      </w:r>
    </w:p>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7.21.5</w:t>
      </w:r>
      <w:bookmarkStart w:id="3" w:name="_GoBack"/>
      <w:bookmarkEnd w:id="3"/>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spacing w:before="160" w:beforeLines="50" w:after="120"/>
        <w:jc w:val="both"/>
        <w:rPr>
          <w:rFonts w:eastAsia="宋体"/>
          <w:szCs w:val="20"/>
          <w:lang w:eastAsia="zh-CN"/>
        </w:rPr>
      </w:pPr>
      <w:r>
        <w:rPr>
          <w:rFonts w:eastAsia="宋体"/>
          <w:szCs w:val="20"/>
          <w:lang w:eastAsia="zh-CN"/>
        </w:rPr>
        <w:t xml:space="preserve">In </w:t>
      </w:r>
      <w:r>
        <w:rPr>
          <w:rFonts w:hint="eastAsia" w:eastAsia="宋体"/>
          <w:szCs w:val="20"/>
          <w:lang w:val="en-US" w:eastAsia="zh-CN"/>
        </w:rPr>
        <w:t>latest WID</w:t>
      </w:r>
      <w:r>
        <w:rPr>
          <w:rFonts w:eastAsia="宋体"/>
          <w:szCs w:val="20"/>
          <w:lang w:eastAsia="zh-CN"/>
        </w:rPr>
        <w:t xml:space="preserve">, following </w:t>
      </w:r>
      <w:r>
        <w:rPr>
          <w:rFonts w:hint="eastAsia" w:eastAsia="宋体"/>
          <w:szCs w:val="20"/>
          <w:lang w:val="en-US" w:eastAsia="zh-CN"/>
        </w:rPr>
        <w:t>three</w:t>
      </w:r>
      <w:r>
        <w:rPr>
          <w:rFonts w:eastAsia="宋体"/>
          <w:szCs w:val="20"/>
          <w:lang w:eastAsia="zh-CN"/>
        </w:rPr>
        <w:t xml:space="preserve">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1"/>
                <w:numId w:val="5"/>
              </w:numPr>
              <w:overflowPunct w:val="0"/>
              <w:autoSpaceDE w:val="0"/>
              <w:autoSpaceDN w:val="0"/>
              <w:adjustRightInd w:val="0"/>
              <w:textAlignment w:val="baseline"/>
              <w:rPr>
                <w:bCs/>
                <w:szCs w:val="22"/>
              </w:rPr>
            </w:pPr>
            <w:r>
              <w:rPr>
                <w:bCs/>
              </w:rPr>
              <w:t>Direct AI/ML positioning:</w:t>
            </w:r>
          </w:p>
          <w:p>
            <w:pPr>
              <w:numPr>
                <w:ilvl w:val="2"/>
                <w:numId w:val="5"/>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5"/>
              </w:numPr>
              <w:overflowPunct w:val="0"/>
              <w:autoSpaceDE w:val="0"/>
              <w:autoSpaceDN w:val="0"/>
              <w:adjustRightInd w:val="0"/>
              <w:textAlignment w:val="baseline"/>
              <w:rPr>
                <w:bCs/>
                <w:strike/>
                <w:dstrike w:val="0"/>
              </w:rPr>
            </w:pPr>
            <w:r>
              <w:rPr>
                <w:bCs/>
                <w:strike/>
                <w:dstrike w:val="0"/>
              </w:rPr>
              <w:t>(2</w:t>
            </w:r>
            <w:r>
              <w:rPr>
                <w:bCs/>
                <w:strike/>
                <w:dstrike w:val="0"/>
                <w:vertAlign w:val="superscript"/>
              </w:rPr>
              <w:t>nd</w:t>
            </w:r>
            <w:r>
              <w:rPr>
                <w:bCs/>
                <w:strike/>
                <w:dstrike w:val="0"/>
              </w:rPr>
              <w:t xml:space="preserve"> priority</w:t>
            </w:r>
            <w:r>
              <w:rPr>
                <w:bCs/>
                <w:strike/>
                <w:dstrike w:val="0"/>
                <w:highlight w:val="none"/>
              </w:rPr>
              <w:t xml:space="preserve">) Case 2b: </w:t>
            </w:r>
            <w:r>
              <w:rPr>
                <w:strike/>
                <w:dstrike w:val="0"/>
              </w:rPr>
              <w:t>UE-assisted/LMF-based positioning with LMF-side model, direct AI/ML positioning</w:t>
            </w:r>
          </w:p>
          <w:p>
            <w:pPr>
              <w:numPr>
                <w:ilvl w:val="2"/>
                <w:numId w:val="5"/>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5"/>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5"/>
              </w:numPr>
              <w:overflowPunct w:val="0"/>
              <w:autoSpaceDE w:val="0"/>
              <w:autoSpaceDN w:val="0"/>
              <w:adjustRightInd w:val="0"/>
              <w:textAlignment w:val="baseline"/>
              <w:rPr>
                <w:bCs/>
                <w:strike/>
                <w:dstrike w:val="0"/>
                <w:color w:val="BFBFBF"/>
              </w:rPr>
            </w:pPr>
            <w:r>
              <w:rPr>
                <w:bCs/>
                <w:strike/>
                <w:dstrike w:val="0"/>
              </w:rPr>
              <w:t>(2</w:t>
            </w:r>
            <w:r>
              <w:rPr>
                <w:bCs/>
                <w:strike/>
                <w:dstrike w:val="0"/>
                <w:vertAlign w:val="superscript"/>
              </w:rPr>
              <w:t>nd</w:t>
            </w:r>
            <w:r>
              <w:rPr>
                <w:bCs/>
                <w:strike/>
                <w:dstrike w:val="0"/>
              </w:rPr>
              <w:t xml:space="preserve"> priority</w:t>
            </w:r>
            <w:r>
              <w:rPr>
                <w:bCs/>
                <w:strike/>
                <w:dstrike w:val="0"/>
                <w:highlight w:val="none"/>
              </w:rPr>
              <w:t>) Case 2a:</w:t>
            </w:r>
            <w:r>
              <w:rPr>
                <w:bCs/>
                <w:strike/>
                <w:dstrike w:val="0"/>
              </w:rPr>
              <w:t xml:space="preserve"> </w:t>
            </w:r>
            <w:r>
              <w:rPr>
                <w:strike/>
                <w:dstrike w:val="0"/>
              </w:rPr>
              <w:t>UE-assisted/LMF-based positioning with UE-side model, AI/ML assisted positioning</w:t>
            </w:r>
            <w:r>
              <w:rPr>
                <w:bCs/>
                <w:strike/>
                <w:dstrike w:val="0"/>
                <w:color w:val="BFBFBF"/>
              </w:rPr>
              <w:tab/>
            </w:r>
          </w:p>
          <w:p>
            <w:pPr>
              <w:numPr>
                <w:ilvl w:val="2"/>
                <w:numId w:val="5"/>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hint="eastAsia" w:eastAsia="宋体"/>
          <w:szCs w:val="20"/>
          <w:lang w:val="en-US" w:eastAsia="zh-CN"/>
        </w:rPr>
      </w:pPr>
      <w:r>
        <w:rPr>
          <w:rFonts w:hint="eastAsia" w:eastAsia="宋体"/>
          <w:szCs w:val="20"/>
          <w:lang w:val="en-US" w:eastAsia="zh-CN"/>
        </w:rPr>
        <w:t>Since RAN plenary has already precluded case2a and case2b, RAN4 shall not define the related requirements on them. In further meetings, RAN4 shall focus on case 1, case 3a and case 3b.</w:t>
      </w:r>
    </w:p>
    <w:p>
      <w:pPr>
        <w:spacing w:before="160" w:beforeLines="50" w:after="120"/>
        <w:jc w:val="both"/>
        <w:rPr>
          <w:rFonts w:hint="default" w:eastAsia="宋体"/>
          <w:b/>
          <w:bCs/>
          <w:szCs w:val="20"/>
          <w:lang w:val="en-US" w:eastAsia="zh-CN"/>
        </w:rPr>
      </w:pPr>
      <w:r>
        <w:rPr>
          <w:rFonts w:hint="eastAsia" w:eastAsia="宋体"/>
          <w:b/>
          <w:bCs/>
          <w:szCs w:val="20"/>
          <w:lang w:val="en-US" w:eastAsia="zh-CN"/>
        </w:rPr>
        <w:t>Observation 1: RAN plenary has already precluded case2a and case2b.</w:t>
      </w:r>
    </w:p>
    <w:p>
      <w:pPr>
        <w:spacing w:before="160" w:beforeLines="50" w:after="120"/>
        <w:jc w:val="both"/>
        <w:rPr>
          <w:rFonts w:hint="default" w:eastAsia="宋体"/>
          <w:b/>
          <w:bCs/>
          <w:szCs w:val="20"/>
          <w:lang w:val="en-US" w:eastAsia="zh-CN"/>
        </w:rPr>
      </w:pPr>
      <w:r>
        <w:rPr>
          <w:rFonts w:hint="eastAsia" w:eastAsia="宋体"/>
          <w:b/>
          <w:bCs/>
          <w:szCs w:val="20"/>
          <w:lang w:val="en-US" w:eastAsia="zh-CN"/>
        </w:rPr>
        <w:t>Proposal 1：RAN4 shall not define any RRM requirements on case 2a and case 2b.</w:t>
      </w:r>
    </w:p>
    <w:p>
      <w:pPr>
        <w:spacing w:before="160" w:beforeLines="50" w:after="120"/>
        <w:jc w:val="both"/>
        <w:rPr>
          <w:rFonts w:eastAsia="宋体"/>
          <w:szCs w:val="20"/>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b/>
                <w:i/>
              </w:rPr>
            </w:pPr>
            <w:r>
              <w:rPr>
                <w:rFonts w:hint="eastAsia"/>
                <w:b/>
                <w:i/>
              </w:rPr>
              <w:t>R</w:t>
            </w:r>
            <w:r>
              <w:rPr>
                <w:b/>
                <w:i/>
              </w:rPr>
              <w:t>AN4 110 meeting:</w:t>
            </w:r>
          </w:p>
          <w:p>
            <w:pPr>
              <w:rPr>
                <w:b/>
                <w:szCs w:val="21"/>
                <w:u w:val="single"/>
              </w:rPr>
            </w:pPr>
            <w:r>
              <w:rPr>
                <w:b/>
                <w:u w:val="single"/>
              </w:rPr>
              <w:t>Issue 3-2: Requirements for case 3a/3b</w:t>
            </w:r>
          </w:p>
          <w:p>
            <w:pPr>
              <w:pStyle w:val="57"/>
              <w:numPr>
                <w:ilvl w:val="0"/>
                <w:numId w:val="6"/>
              </w:numPr>
              <w:spacing w:after="120"/>
              <w:ind w:firstLineChars="0"/>
              <w:rPr>
                <w:rFonts w:eastAsia="Yu Mincho"/>
                <w:highlight w:val="green"/>
              </w:rPr>
            </w:pPr>
            <w:r>
              <w:rPr>
                <w:rFonts w:hint="eastAsia" w:eastAsia="Yu Mincho"/>
                <w:highlight w:val="green"/>
              </w:rPr>
              <w:t>R</w:t>
            </w:r>
            <w:r>
              <w:rPr>
                <w:rFonts w:eastAsia="Yu Mincho"/>
                <w:highlight w:val="green"/>
              </w:rPr>
              <w:t>AN4 will not define positioning accuracy requirements for case 3a/3b</w:t>
            </w:r>
          </w:p>
          <w:p>
            <w:pPr>
              <w:rPr>
                <w:b/>
                <w:i/>
              </w:rPr>
            </w:pPr>
            <w:r>
              <w:rPr>
                <w:b/>
                <w:i/>
              </w:rPr>
              <w:t>RAN4 110bis meeting:</w:t>
            </w:r>
          </w:p>
          <w:p>
            <w:pPr>
              <w:rPr>
                <w:b/>
                <w:szCs w:val="21"/>
                <w:u w:val="single"/>
              </w:rPr>
            </w:pPr>
            <w:r>
              <w:rPr>
                <w:b/>
                <w:u w:val="single"/>
              </w:rPr>
              <w:t>Issue 3-1: Requirements for case 1</w:t>
            </w:r>
          </w:p>
          <w:p>
            <w:pPr>
              <w:spacing w:after="120"/>
              <w:rPr>
                <w:rFonts w:eastAsia="Yu Mincho"/>
              </w:rPr>
            </w:pPr>
            <w:r>
              <w:rPr>
                <w:rFonts w:hint="eastAsia" w:eastAsia="Yu Mincho"/>
              </w:rPr>
              <w:t xml:space="preserve">Agreement: </w:t>
            </w:r>
          </w:p>
          <w:p>
            <w:pPr>
              <w:spacing w:after="120"/>
              <w:rPr>
                <w:rFonts w:eastAsia="Yu Mincho"/>
              </w:rPr>
            </w:pPr>
            <w:r>
              <w:rPr>
                <w:rFonts w:hint="eastAsia" w:eastAsia="Yu Mincho"/>
              </w:rPr>
              <w:t xml:space="preserve">postpone discussion </w:t>
            </w:r>
            <w:r>
              <w:rPr>
                <w:rFonts w:eastAsia="Yu Mincho"/>
              </w:rPr>
              <w:t>until</w:t>
            </w:r>
            <w:r>
              <w:rPr>
                <w:rFonts w:hint="eastAsia" w:eastAsia="Yu Mincho"/>
              </w:rPr>
              <w:t xml:space="preserve"> reporting scheme</w:t>
            </w:r>
            <w:r>
              <w:rPr>
                <w:rFonts w:eastAsia="Yu Mincho"/>
              </w:rPr>
              <w:t xml:space="preserve"> </w:t>
            </w:r>
            <w:r>
              <w:rPr>
                <w:rFonts w:hint="eastAsia" w:eastAsia="Yu Mincho"/>
              </w:rPr>
              <w:t>(if defined) is clear.  if reporting scheme is introduced, RAN4 will further discuss whether to define requirements or not.</w:t>
            </w:r>
          </w:p>
          <w:p>
            <w:pPr>
              <w:rPr>
                <w:rFonts w:eastAsia="Yu Mincho"/>
              </w:rPr>
            </w:pPr>
            <w:r>
              <w:rPr>
                <w:rFonts w:hint="eastAsia" w:eastAsia="Yu Mincho"/>
              </w:rPr>
              <w:t>RAN4 will not define any accuracy requirements if no reporting scheme is introduced</w:t>
            </w:r>
          </w:p>
          <w:p>
            <w:pPr>
              <w:rPr>
                <w:b/>
                <w:i/>
              </w:rPr>
            </w:pPr>
            <w:r>
              <w:rPr>
                <w:b/>
                <w:i/>
              </w:rPr>
              <w:t>RAN4 112bis meeting:</w:t>
            </w:r>
          </w:p>
          <w:p>
            <w:pPr>
              <w:rPr>
                <w:b/>
                <w:szCs w:val="21"/>
                <w:u w:val="single"/>
              </w:rPr>
            </w:pPr>
            <w:r>
              <w:rPr>
                <w:b/>
                <w:u w:val="single"/>
              </w:rPr>
              <w:t>Issue 3-</w:t>
            </w:r>
            <w:r>
              <w:rPr>
                <w:rFonts w:hint="eastAsia" w:eastAsia="Yu Mincho"/>
                <w:b/>
                <w:u w:val="single"/>
              </w:rPr>
              <w:t>1</w:t>
            </w:r>
            <w:r>
              <w:rPr>
                <w:b/>
                <w:u w:val="single"/>
              </w:rPr>
              <w:t xml:space="preserve">: </w:t>
            </w:r>
            <w:r>
              <w:rPr>
                <w:rFonts w:hint="eastAsia" w:eastAsia="Yu Mincho"/>
                <w:b/>
                <w:u w:val="single"/>
              </w:rPr>
              <w:t>Requirements for case 1</w:t>
            </w:r>
          </w:p>
          <w:p>
            <w:pPr>
              <w:spacing w:after="120"/>
              <w:rPr>
                <w:rFonts w:eastAsia="Yu Mincho"/>
              </w:rPr>
            </w:pPr>
            <w:r>
              <w:rPr>
                <w:rFonts w:hint="eastAsia" w:eastAsia="Yu Mincho"/>
              </w:rPr>
              <w:t>Agreement:</w:t>
            </w:r>
          </w:p>
          <w:p>
            <w:pPr>
              <w:spacing w:after="120"/>
              <w:rPr>
                <w:rFonts w:eastAsia="Yu Mincho"/>
              </w:rPr>
            </w:pPr>
            <w:r>
              <w:rPr>
                <w:rFonts w:hint="eastAsia" w:eastAsia="Yu Mincho"/>
              </w:rPr>
              <w:t>Companies are invited to bring further analysis on feasibility of defining requirements for case 1 and how to define requirements, if feasible</w:t>
            </w:r>
          </w:p>
          <w:p>
            <w:pPr>
              <w:rPr>
                <w:b/>
                <w:u w:val="single"/>
              </w:rPr>
            </w:pPr>
            <w:r>
              <w:rPr>
                <w:b/>
                <w:u w:val="single"/>
              </w:rPr>
              <w:t>Issue 3-</w:t>
            </w:r>
            <w:r>
              <w:rPr>
                <w:rFonts w:hint="eastAsia" w:eastAsia="Yu Mincho"/>
                <w:b/>
                <w:u w:val="single"/>
              </w:rPr>
              <w:t>3</w:t>
            </w:r>
            <w:r>
              <w:rPr>
                <w:b/>
                <w:u w:val="single"/>
              </w:rPr>
              <w:t xml:space="preserve">: </w:t>
            </w:r>
            <w:r>
              <w:rPr>
                <w:rFonts w:hint="eastAsia" w:eastAsia="Yu Mincho"/>
                <w:b/>
                <w:u w:val="single"/>
              </w:rPr>
              <w:t>Report applicability for existing reported metrics</w:t>
            </w:r>
          </w:p>
          <w:p>
            <w:pPr>
              <w:spacing w:after="120"/>
              <w:rPr>
                <w:rFonts w:eastAsia="Yu Mincho"/>
              </w:rPr>
            </w:pPr>
            <w:r>
              <w:rPr>
                <w:rFonts w:hint="eastAsia" w:eastAsia="Yu Mincho"/>
              </w:rPr>
              <w:t>Agreement:</w:t>
            </w:r>
            <w:r>
              <w:t xml:space="preserve"> </w:t>
            </w:r>
          </w:p>
          <w:p>
            <w:pPr>
              <w:spacing w:after="120"/>
              <w:rPr>
                <w:rFonts w:eastAsia="Yu Mincho"/>
              </w:rPr>
            </w:pPr>
            <w:r>
              <w:rPr>
                <w:highlight w:val="green"/>
              </w:rPr>
              <w:t>Extend applicability of existing report mappings for UL-RToA and UL SRS-RSRPP to report UL measurements for AI/ML based positioning use cases 3a/3b.</w:t>
            </w:r>
          </w:p>
          <w:p>
            <w:pPr>
              <w:rPr>
                <w:b/>
                <w:i/>
              </w:rPr>
            </w:pPr>
            <w:r>
              <w:rPr>
                <w:b/>
                <w:i/>
              </w:rPr>
              <w:t>RAN4 114 meeting:</w:t>
            </w:r>
          </w:p>
          <w:p>
            <w:pPr>
              <w:rPr>
                <w:b/>
                <w:szCs w:val="21"/>
                <w:u w:val="single"/>
              </w:rPr>
            </w:pPr>
            <w:r>
              <w:rPr>
                <w:b/>
                <w:u w:val="single"/>
              </w:rPr>
              <w:t xml:space="preserve">Issue </w:t>
            </w:r>
            <w:r>
              <w:rPr>
                <w:rFonts w:hint="eastAsia" w:eastAsia="Yu Mincho"/>
                <w:b/>
                <w:u w:val="single"/>
              </w:rPr>
              <w:t>3</w:t>
            </w:r>
            <w:r>
              <w:rPr>
                <w:b/>
                <w:u w:val="single"/>
              </w:rPr>
              <w:t xml:space="preserve">-4: </w:t>
            </w:r>
            <w:r>
              <w:rPr>
                <w:rFonts w:hint="eastAsia" w:eastAsia="Yu Mincho"/>
                <w:b/>
                <w:u w:val="single"/>
              </w:rPr>
              <w:t>Report mapping for UL SRS-RSRP</w:t>
            </w:r>
          </w:p>
          <w:p>
            <w:pPr>
              <w:rPr>
                <w:bCs/>
              </w:rPr>
            </w:pPr>
            <w:r>
              <w:rPr>
                <w:rFonts w:hint="eastAsia"/>
                <w:bCs/>
              </w:rPr>
              <w:t>A</w:t>
            </w:r>
            <w:r>
              <w:rPr>
                <w:bCs/>
              </w:rPr>
              <w:t xml:space="preserve">greement: </w:t>
            </w:r>
          </w:p>
          <w:p>
            <w:pPr>
              <w:pStyle w:val="57"/>
              <w:numPr>
                <w:ilvl w:val="0"/>
                <w:numId w:val="7"/>
              </w:numPr>
              <w:ind w:firstLineChars="0"/>
              <w:rPr>
                <w:rFonts w:eastAsia="Yu Mincho"/>
                <w:highlight w:val="green"/>
              </w:rPr>
            </w:pPr>
            <w:r>
              <w:rPr>
                <w:rFonts w:hint="eastAsia" w:eastAsia="Yu Mincho"/>
                <w:highlight w:val="green"/>
              </w:rPr>
              <w:t>Reuse the report mapping for UL SRS-RS</w:t>
            </w:r>
            <w:r>
              <w:rPr>
                <w:rFonts w:eastAsia="Yu Mincho"/>
                <w:highlight w:val="green"/>
              </w:rPr>
              <w:t>R</w:t>
            </w:r>
            <w:r>
              <w:rPr>
                <w:rFonts w:hint="eastAsia" w:eastAsia="Yu Mincho"/>
                <w:highlight w:val="green"/>
              </w:rPr>
              <w:t>P to Case 3a</w:t>
            </w:r>
          </w:p>
          <w:p>
            <w:pPr>
              <w:pStyle w:val="57"/>
              <w:ind w:firstLine="400"/>
              <w:rPr>
                <w:rFonts w:eastAsia="宋体"/>
              </w:rPr>
            </w:pPr>
            <w:r>
              <w:rPr>
                <w:rFonts w:hint="eastAsia" w:eastAsia="等线"/>
                <w:bCs/>
                <w:iCs/>
                <w:highlight w:val="green"/>
              </w:rPr>
              <w:t xml:space="preserve">For non-AI, according to TS 38.133, measurement reporting mapping are specified for </w:t>
            </w:r>
            <w:r>
              <w:rPr>
                <w:highlight w:val="green"/>
              </w:rPr>
              <w:t>UL RTOA</w:t>
            </w:r>
            <w:r>
              <w:rPr>
                <w:rFonts w:hint="eastAsia"/>
                <w:highlight w:val="green"/>
              </w:rPr>
              <w:t>, UL SRS RSRP measurement and UL SRS RSRPP measurement, which can be reused for case 3a.</w:t>
            </w:r>
          </w:p>
          <w:p>
            <w:pPr>
              <w:rPr>
                <w:b/>
                <w:i/>
              </w:rPr>
            </w:pPr>
            <w:r>
              <w:rPr>
                <w:b/>
                <w:i/>
              </w:rPr>
              <w:t>RAN4 114bis meeting:</w:t>
            </w:r>
          </w:p>
          <w:p>
            <w:pPr>
              <w:rPr>
                <w:rFonts w:eastAsia="Yu Mincho"/>
                <w:szCs w:val="21"/>
              </w:rPr>
            </w:pPr>
            <w:r>
              <w:rPr>
                <w:b/>
                <w:u w:val="single"/>
              </w:rPr>
              <w:t xml:space="preserve">Issue </w:t>
            </w:r>
            <w:r>
              <w:rPr>
                <w:rFonts w:hint="eastAsia" w:eastAsia="Yu Mincho"/>
                <w:b/>
                <w:u w:val="single"/>
              </w:rPr>
              <w:t>3</w:t>
            </w:r>
            <w:r>
              <w:rPr>
                <w:b/>
                <w:u w:val="single"/>
              </w:rPr>
              <w:t xml:space="preserve">-2: </w:t>
            </w:r>
            <w:r>
              <w:rPr>
                <w:rFonts w:hint="eastAsia" w:eastAsia="Yu Mincho"/>
                <w:b/>
                <w:u w:val="single"/>
              </w:rPr>
              <w:t>LOS/NLOS indicator</w:t>
            </w:r>
          </w:p>
          <w:p>
            <w:pPr>
              <w:rPr>
                <w:rFonts w:eastAsia="Yu Mincho"/>
              </w:rPr>
            </w:pPr>
            <w:r>
              <w:rPr>
                <w:rFonts w:hint="eastAsia" w:eastAsia="Yu Mincho"/>
              </w:rPr>
              <w:t>Agreement:</w:t>
            </w:r>
          </w:p>
          <w:p>
            <w:r>
              <w:rPr>
                <w:highlight w:val="green"/>
              </w:rPr>
              <w:t>the LOS/NLOS indicator is out of scope of WID. Stop discussions on it.</w:t>
            </w:r>
          </w:p>
          <w:p>
            <w:pPr>
              <w:rPr>
                <w:b/>
                <w:u w:val="single"/>
              </w:rPr>
            </w:pPr>
            <w:r>
              <w:rPr>
                <w:b/>
                <w:u w:val="single"/>
              </w:rPr>
              <w:t xml:space="preserve">Issue </w:t>
            </w:r>
            <w:r>
              <w:rPr>
                <w:rFonts w:hint="eastAsia" w:eastAsia="Yu Mincho"/>
                <w:b/>
                <w:u w:val="single"/>
              </w:rPr>
              <w:t>3</w:t>
            </w:r>
            <w:r>
              <w:rPr>
                <w:b/>
                <w:u w:val="single"/>
              </w:rPr>
              <w:t xml:space="preserve">-3: </w:t>
            </w:r>
            <w:r>
              <w:rPr>
                <w:rFonts w:hint="eastAsia" w:eastAsia="Yu Mincho"/>
                <w:b/>
                <w:u w:val="single"/>
              </w:rPr>
              <w:t>Rx-Tx time difference for case 3a</w:t>
            </w:r>
          </w:p>
          <w:p>
            <w:pPr>
              <w:spacing w:after="120"/>
              <w:rPr>
                <w:rFonts w:eastAsia="Yu Mincho"/>
              </w:rPr>
            </w:pPr>
            <w:r>
              <w:rPr>
                <w:rFonts w:hint="eastAsia" w:eastAsia="Yu Mincho"/>
              </w:rPr>
              <w:t>A</w:t>
            </w:r>
            <w:r>
              <w:rPr>
                <w:rFonts w:eastAsia="Yu Mincho"/>
              </w:rPr>
              <w:t>greement:</w:t>
            </w:r>
          </w:p>
          <w:p>
            <w:pPr>
              <w:pStyle w:val="57"/>
              <w:numPr>
                <w:ilvl w:val="0"/>
                <w:numId w:val="8"/>
              </w:numPr>
              <w:spacing w:after="120"/>
              <w:ind w:left="426" w:firstLineChars="0"/>
              <w:rPr>
                <w:rFonts w:eastAsia="Yu Mincho"/>
                <w:highlight w:val="green"/>
              </w:rPr>
            </w:pPr>
            <w:r>
              <w:rPr>
                <w:rFonts w:hint="eastAsia" w:eastAsia="Yu Mincho"/>
                <w:highlight w:val="green"/>
              </w:rPr>
              <w:t>Introduce gNB Rx-Tx time difference reporting accuracy requirements</w:t>
            </w:r>
          </w:p>
          <w:p>
            <w:pPr>
              <w:pStyle w:val="57"/>
              <w:numPr>
                <w:ilvl w:val="2"/>
                <w:numId w:val="9"/>
              </w:numPr>
              <w:spacing w:after="120"/>
              <w:ind w:left="851" w:firstLineChars="0"/>
              <w:rPr>
                <w:highlight w:val="green"/>
              </w:rPr>
            </w:pPr>
            <w:r>
              <w:rPr>
                <w:rFonts w:eastAsia="Yu Mincho"/>
                <w:highlight w:val="green"/>
              </w:rPr>
              <w:t>Reuse</w:t>
            </w:r>
            <w:r>
              <w:rPr>
                <w:rFonts w:hint="eastAsia" w:eastAsia="Yu Mincho"/>
                <w:highlight w:val="green"/>
              </w:rPr>
              <w:t xml:space="preserve"> legacy accuracy requirements</w:t>
            </w:r>
          </w:p>
          <w:p>
            <w:r>
              <w:t xml:space="preserve"> </w:t>
            </w:r>
          </w:p>
          <w:p>
            <w:r>
              <w:rPr>
                <w:b/>
                <w:u w:val="single"/>
              </w:rPr>
              <w:t xml:space="preserve">Issue </w:t>
            </w:r>
            <w:r>
              <w:rPr>
                <w:rFonts w:hint="eastAsia" w:eastAsia="Yu Mincho"/>
                <w:b/>
                <w:u w:val="single"/>
              </w:rPr>
              <w:t>3</w:t>
            </w:r>
            <w:r>
              <w:rPr>
                <w:b/>
                <w:u w:val="single"/>
              </w:rPr>
              <w:t xml:space="preserve">-4: </w:t>
            </w:r>
            <w:r>
              <w:rPr>
                <w:rFonts w:hint="eastAsia" w:eastAsia="Yu Mincho"/>
                <w:b/>
                <w:u w:val="single"/>
              </w:rPr>
              <w:t>Report mapping for gNB Rx-Tx time difference</w:t>
            </w:r>
          </w:p>
          <w:p>
            <w:pPr>
              <w:spacing w:after="120"/>
              <w:rPr>
                <w:rFonts w:eastAsia="Yu Mincho"/>
              </w:rPr>
            </w:pPr>
            <w:r>
              <w:rPr>
                <w:rFonts w:hint="eastAsia" w:eastAsia="Yu Mincho"/>
              </w:rPr>
              <w:t>A</w:t>
            </w:r>
            <w:r>
              <w:rPr>
                <w:rFonts w:eastAsia="Yu Mincho"/>
              </w:rPr>
              <w:t>greement:</w:t>
            </w:r>
          </w:p>
          <w:p>
            <w:pPr>
              <w:pStyle w:val="57"/>
              <w:numPr>
                <w:ilvl w:val="0"/>
                <w:numId w:val="8"/>
              </w:numPr>
              <w:spacing w:after="120"/>
              <w:ind w:left="426" w:firstLineChars="0"/>
              <w:rPr>
                <w:rFonts w:hint="eastAsia" w:eastAsia="Yu Mincho"/>
              </w:rPr>
            </w:pPr>
            <w:r>
              <w:rPr>
                <w:rFonts w:hint="eastAsia" w:eastAsia="Yu Mincho"/>
                <w:highlight w:val="green"/>
              </w:rPr>
              <w:t>Reuse the existing report mapping for gNB Rx-Tx time difference measurements</w:t>
            </w:r>
          </w:p>
        </w:tc>
      </w:tr>
    </w:tbl>
    <w:p>
      <w:pPr>
        <w:spacing w:before="160" w:beforeLines="50" w:after="120"/>
        <w:jc w:val="both"/>
        <w:rPr>
          <w:rFonts w:eastAsia="宋体"/>
          <w:szCs w:val="20"/>
          <w:lang w:eastAsia="zh-CN"/>
        </w:rPr>
      </w:pPr>
      <w:r>
        <w:rPr>
          <w:rFonts w:eastAsia="宋体"/>
          <w:szCs w:val="20"/>
          <w:lang w:eastAsia="zh-CN"/>
        </w:rPr>
        <w:t xml:space="preserve">In the </w:t>
      </w:r>
      <w:r>
        <w:rPr>
          <w:rFonts w:hint="eastAsia" w:eastAsia="宋体"/>
          <w:szCs w:val="20"/>
          <w:lang w:val="en-US" w:eastAsia="zh-CN"/>
        </w:rPr>
        <w:t>previous</w:t>
      </w:r>
      <w:r>
        <w:rPr>
          <w:rFonts w:eastAsia="宋体"/>
          <w:szCs w:val="20"/>
          <w:lang w:eastAsia="zh-CN"/>
        </w:rPr>
        <w:t xml:space="preserve"> meeting, RAN4 kicked off the discussion on case 1 and reached the agreement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Issue 3-1: Requirements for case 1</w:t>
            </w:r>
          </w:p>
          <w:p>
            <w:pPr>
              <w:spacing w:after="120"/>
              <w:rPr>
                <w:rFonts w:eastAsia="Yu Mincho"/>
                <w:lang w:eastAsia="ja-JP"/>
              </w:rPr>
            </w:pPr>
            <w:r>
              <w:rPr>
                <w:rFonts w:hint="eastAsia" w:eastAsia="Yu Mincho"/>
                <w:lang w:eastAsia="ja-JP"/>
              </w:rPr>
              <w:t xml:space="preserve">Agreement: </w:t>
            </w:r>
          </w:p>
          <w:p>
            <w:pPr>
              <w:spacing w:after="120"/>
              <w:rPr>
                <w:rFonts w:eastAsia="Yu Mincho"/>
                <w:lang w:eastAsia="ja-JP"/>
              </w:rPr>
            </w:pPr>
            <w:r>
              <w:rPr>
                <w:rFonts w:hint="eastAsia" w:eastAsia="Yu Mincho"/>
                <w:lang w:eastAsia="ja-JP"/>
              </w:rPr>
              <w:t xml:space="preserve">postpone discussion </w:t>
            </w:r>
            <w:r>
              <w:rPr>
                <w:rFonts w:eastAsia="Yu Mincho"/>
                <w:lang w:eastAsia="ja-JP"/>
              </w:rPr>
              <w:t>until</w:t>
            </w:r>
            <w:r>
              <w:rPr>
                <w:rFonts w:hint="eastAsia" w:eastAsia="Yu Mincho"/>
                <w:lang w:eastAsia="ja-JP"/>
              </w:rPr>
              <w:t xml:space="preserve"> reporting scheme</w:t>
            </w:r>
            <w:r>
              <w:rPr>
                <w:rFonts w:eastAsia="Yu Mincho"/>
                <w:lang w:eastAsia="ja-JP"/>
              </w:rPr>
              <w:t xml:space="preserve"> </w:t>
            </w:r>
            <w:r>
              <w:rPr>
                <w:rFonts w:hint="eastAsia" w:eastAsia="Yu Mincho"/>
                <w:lang w:eastAsia="ja-JP"/>
              </w:rPr>
              <w:t xml:space="preserve">(if defined) is clear. </w:t>
            </w:r>
            <w:r>
              <w:rPr>
                <w:rFonts w:eastAsia="Yu Mincho"/>
                <w:lang w:eastAsia="ja-JP"/>
              </w:rPr>
              <w:t>I</w:t>
            </w:r>
            <w:r>
              <w:rPr>
                <w:rFonts w:hint="eastAsia" w:eastAsia="Yu Mincho"/>
                <w:lang w:eastAsia="ja-JP"/>
              </w:rPr>
              <w:t>f reporting scheme is introduced, RAN4 will further discuss whether to define requirements or not.</w:t>
            </w:r>
          </w:p>
          <w:p>
            <w:pPr>
              <w:spacing w:after="120"/>
              <w:rPr>
                <w:rFonts w:eastAsia="Yu Mincho"/>
                <w:lang w:eastAsia="ja-JP"/>
              </w:rPr>
            </w:pPr>
            <w:r>
              <w:rPr>
                <w:rFonts w:hint="eastAsia" w:eastAsia="Yu Mincho"/>
                <w:lang w:eastAsia="ja-JP"/>
              </w:rPr>
              <w:t>RAN4 will not define any accuracy requirements if no reporting scheme is introduced</w:t>
            </w:r>
          </w:p>
        </w:tc>
      </w:tr>
    </w:tbl>
    <w:p>
      <w:pPr>
        <w:spacing w:before="160" w:beforeLines="50" w:after="120"/>
        <w:jc w:val="both"/>
        <w:rPr>
          <w:rFonts w:hint="eastAsia" w:eastAsia="宋体"/>
          <w:szCs w:val="20"/>
          <w:lang w:val="en-US" w:eastAsia="zh-CN"/>
        </w:rPr>
      </w:pPr>
      <w:r>
        <w:rPr>
          <w:rFonts w:hint="eastAsia" w:eastAsia="宋体"/>
          <w:szCs w:val="20"/>
          <w:lang w:val="en-US" w:eastAsia="zh-CN"/>
        </w:rPr>
        <w:t>First of all, the following represent case 1:</w:t>
      </w:r>
    </w:p>
    <w:p>
      <w:pPr>
        <w:spacing w:before="160" w:beforeLines="50" w:after="120"/>
        <w:jc w:val="center"/>
        <w:rPr>
          <w:rFonts w:hint="default" w:eastAsia="宋体"/>
          <w:szCs w:val="20"/>
          <w:lang w:val="en-US" w:eastAsia="zh-CN"/>
        </w:rPr>
      </w:pPr>
      <w:r>
        <w:rPr>
          <w:rFonts w:ascii="New York" w:hAnsi="New York"/>
          <w:lang w:eastAsia="zh-CN"/>
        </w:rPr>
        <w:drawing>
          <wp:inline distT="0" distB="0" distL="0" distR="0">
            <wp:extent cx="2157095" cy="2039620"/>
            <wp:effectExtent l="0" t="0" r="0" b="254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60" w:beforeLines="50" w:after="120"/>
        <w:jc w:val="center"/>
        <w:rPr>
          <w:rFonts w:hint="default" w:eastAsia="宋体"/>
          <w:szCs w:val="20"/>
          <w:lang w:val="en-US" w:eastAsia="zh-CN"/>
        </w:rPr>
      </w:pPr>
      <w:r>
        <w:rPr>
          <w:rFonts w:hint="eastAsia" w:eastAsia="宋体"/>
          <w:szCs w:val="20"/>
          <w:lang w:val="en-US" w:eastAsia="zh-CN"/>
        </w:rPr>
        <w:t>Figure 1 Case 1</w:t>
      </w:r>
    </w:p>
    <w:p>
      <w:pPr>
        <w:spacing w:before="160" w:beforeLines="50" w:after="120"/>
        <w:jc w:val="both"/>
        <w:rPr>
          <w:rFonts w:eastAsia="宋体"/>
          <w:szCs w:val="20"/>
          <w:lang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and no requirements are defined for such scenario. In </w:t>
      </w:r>
      <w:r>
        <w:rPr>
          <w:rFonts w:hint="eastAsia" w:eastAsia="宋体"/>
          <w:szCs w:val="20"/>
          <w:lang w:val="en-US" w:eastAsia="zh-CN"/>
        </w:rPr>
        <w:t>previous</w:t>
      </w:r>
      <w:r>
        <w:rPr>
          <w:rFonts w:eastAsia="宋体"/>
          <w:szCs w:val="20"/>
          <w:lang w:eastAsia="zh-CN"/>
        </w:rPr>
        <w:t xml:space="preserve"> meeting, we discussed whether to define the related accuracy requirements for case 1 and the final agreements shows if reporting scheme is introduced, RAN4 will further discuss whether to define requirements or not. That is, the main discussion is what is the reporting scheme for case 1.</w:t>
      </w:r>
      <w:r>
        <w:rPr>
          <w:rFonts w:hint="eastAsia" w:eastAsia="宋体"/>
          <w:szCs w:val="20"/>
          <w:lang w:val="en-US" w:eastAsia="zh-CN"/>
        </w:rPr>
        <w:t xml:space="preserve"> W</w:t>
      </w:r>
      <w:r>
        <w:rPr>
          <w:rFonts w:eastAsia="宋体"/>
          <w:szCs w:val="20"/>
          <w:lang w:eastAsia="zh-CN"/>
        </w:rPr>
        <w:t xml:space="preserve">e can review the legacy reporting scheme firstly.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2</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hint="eastAsia" w:eastAsia="宋体"/>
          <w:b/>
          <w:sz w:val="21"/>
          <w:szCs w:val="21"/>
          <w:lang w:val="en-US" w:eastAsia="zh-CN"/>
        </w:rPr>
      </w:pPr>
      <w:r>
        <w:rPr>
          <w:rFonts w:eastAsia="宋体"/>
          <w:b/>
          <w:sz w:val="21"/>
          <w:szCs w:val="21"/>
          <w:lang w:eastAsia="zh-CN"/>
        </w:rPr>
        <w:t xml:space="preserve">Proposal </w:t>
      </w:r>
      <w:r>
        <w:rPr>
          <w:rFonts w:hint="eastAsia" w:eastAsia="宋体"/>
          <w:b/>
          <w:sz w:val="21"/>
          <w:szCs w:val="21"/>
          <w:lang w:val="en-US" w:eastAsia="zh-CN"/>
        </w:rPr>
        <w:t>2</w:t>
      </w:r>
      <w:r>
        <w:rPr>
          <w:rFonts w:eastAsia="宋体"/>
          <w:b/>
          <w:sz w:val="21"/>
          <w:szCs w:val="21"/>
          <w:lang w:eastAsia="zh-CN"/>
        </w:rPr>
        <w:t xml:space="preserve">: </w:t>
      </w:r>
      <w:r>
        <w:rPr>
          <w:rFonts w:hint="eastAsia" w:eastAsia="宋体"/>
          <w:b/>
          <w:sz w:val="21"/>
          <w:szCs w:val="21"/>
          <w:lang w:val="en-US" w:eastAsia="zh-CN"/>
        </w:rPr>
        <w:t>If RAN1 has the agreement on the reporting scheme can use the legacy location request, there are two options here:</w:t>
      </w:r>
    </w:p>
    <w:p>
      <w:pPr>
        <w:ind w:left="420" w:leftChars="0" w:firstLine="420" w:firstLineChars="0"/>
        <w:jc w:val="both"/>
        <w:rPr>
          <w:rFonts w:hint="eastAsia" w:eastAsia="宋体"/>
          <w:b/>
          <w:sz w:val="21"/>
          <w:szCs w:val="21"/>
          <w:lang w:val="en-US" w:eastAsia="zh-CN"/>
        </w:rPr>
      </w:pPr>
      <w:r>
        <w:rPr>
          <w:rFonts w:hint="eastAsia" w:eastAsia="宋体"/>
          <w:b/>
          <w:sz w:val="21"/>
          <w:szCs w:val="21"/>
          <w:lang w:val="en-US" w:eastAsia="zh-CN"/>
        </w:rPr>
        <w:t>Option 1: If it is NW-triggered location request, UE shall report its location and the report requirements shall be confirmed.</w:t>
      </w:r>
    </w:p>
    <w:p>
      <w:pPr>
        <w:ind w:left="420" w:leftChars="0" w:firstLine="420" w:firstLineChars="0"/>
        <w:jc w:val="both"/>
        <w:rPr>
          <w:rFonts w:hint="default" w:eastAsia="宋体"/>
          <w:b/>
          <w:sz w:val="21"/>
          <w:szCs w:val="21"/>
          <w:lang w:val="en-US" w:eastAsia="zh-CN"/>
        </w:rPr>
      </w:pPr>
      <w:r>
        <w:rPr>
          <w:rFonts w:hint="eastAsia" w:eastAsia="宋体"/>
          <w:b/>
          <w:sz w:val="21"/>
          <w:szCs w:val="21"/>
          <w:lang w:val="en-US" w:eastAsia="zh-CN"/>
        </w:rPr>
        <w:t>Option 2: If it is UE-triggered location request, it is no need to report the location to NW which is up to UE implementation.</w:t>
      </w:r>
    </w:p>
    <w:p>
      <w:pPr>
        <w:spacing w:before="160" w:beforeLines="50"/>
        <w:jc w:val="both"/>
        <w:rPr>
          <w:rFonts w:hint="eastAsia" w:eastAsia="宋体"/>
          <w:szCs w:val="20"/>
          <w:lang w:val="en-US" w:eastAsia="zh-CN"/>
        </w:rPr>
      </w:pPr>
      <w:r>
        <w:rPr>
          <w:rFonts w:eastAsia="宋体"/>
          <w:szCs w:val="20"/>
          <w:lang w:eastAsia="zh-CN"/>
        </w:rPr>
        <w:t>Case 1</w:t>
      </w:r>
      <w:r>
        <w:rPr>
          <w:rFonts w:hint="eastAsia" w:eastAsia="宋体"/>
          <w:szCs w:val="20"/>
          <w:lang w:val="en-US" w:eastAsia="zh-CN"/>
        </w:rPr>
        <w:t xml:space="preserve"> is the direct AI/ML positioning, UE-based positioning with UE-side model. UE measures the downlink PRS and the related measurement results can be the inference input. Then, the inference will be directly performed at UE side, the inference output is the AI/ML predicted UE location. After inference, the UE will report the model output to LMF. Thus, the test metric is the positioning accuracy. For test equipment, one main challenge is the accuracy of UE-based direct positioning. In several past meetings, RAN4 did not discuss the ground truth for AI/ML positioning. If the ground truth is known to test equipment, the accuracy can be quantified compared to defined ground truth, such as AI/ML positioning error. Then the model performance can be evaluated and the subsequent operation of model can be clarified. However, how to study or define the positioning ground truth and how to test case 1 are two key points.</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3: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szCs w:val="20"/>
          <w:lang w:val="en-US" w:eastAsia="zh-CN"/>
        </w:rPr>
      </w:pPr>
      <w:r>
        <w:rPr>
          <w:rFonts w:hint="eastAsia" w:eastAsia="宋体"/>
          <w:szCs w:val="20"/>
          <w:lang w:val="en-US" w:eastAsia="zh-CN"/>
        </w:rPr>
        <w:t>In previous meetings, we proposed several times for ground truth on AI/ML positioning which is PRU (Positioning reference unit). If the UE is the PRU, then the LMF/gNB has already known its location. To my understanding, the AI/ML predicted location can be compared to PRU and then the positioning accuracy error will be known. The UE location is the coordinate and the PRU will be set on anywhere, if we set PRU randomly, we do not think the accuracy can be accurately evaluated. Thus, several companies proposed the test map granularity and test map can be defined as below [3]:</w:t>
      </w:r>
    </w:p>
    <w:p>
      <w:pPr>
        <w:spacing w:before="160" w:beforeLines="50"/>
        <w:jc w:val="center"/>
      </w:pPr>
      <w:r>
        <w:drawing>
          <wp:inline distT="0" distB="0" distL="0" distR="0">
            <wp:extent cx="4043680" cy="3228340"/>
            <wp:effectExtent l="0" t="0" r="10160" b="254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43680" cy="3228340"/>
                    </a:xfrm>
                    <a:prstGeom prst="rect">
                      <a:avLst/>
                    </a:prstGeom>
                    <a:noFill/>
                  </pic:spPr>
                </pic:pic>
              </a:graphicData>
            </a:graphic>
          </wp:inline>
        </w:drawing>
      </w:r>
    </w:p>
    <w:p>
      <w:pPr>
        <w:spacing w:before="160" w:beforeLines="50"/>
        <w:jc w:val="center"/>
      </w:pPr>
      <w:r>
        <w:rPr>
          <w:rFonts w:hint="eastAsia" w:eastAsia="宋体"/>
          <w:lang w:val="en-US" w:eastAsia="zh-CN"/>
        </w:rPr>
        <w:t xml:space="preserve">Figure 5 </w:t>
      </w:r>
      <w:r>
        <w:t>Grid map providing a ground-truth information for inference evaluation</w:t>
      </w:r>
    </w:p>
    <w:p>
      <w:pPr>
        <w:spacing w:before="160" w:beforeLines="50"/>
        <w:jc w:val="both"/>
        <w:rPr>
          <w:rFonts w:hint="eastAsia" w:eastAsia="宋体"/>
          <w:lang w:val="en-US" w:eastAsia="zh-CN"/>
        </w:rPr>
      </w:pPr>
      <w:r>
        <w:rPr>
          <w:rFonts w:hint="eastAsia" w:eastAsia="宋体"/>
          <w:lang w:val="en-US" w:eastAsia="zh-CN"/>
        </w:rPr>
        <w:t>W</w:t>
      </w:r>
      <w:r>
        <w:t xml:space="preserve">hile UE moves from one location point to another location, the inference result with AI/ML </w:t>
      </w:r>
      <w:r>
        <w:rPr>
          <w:sz w:val="22"/>
        </w:rPr>
        <w:t>functionality</w:t>
      </w:r>
      <w:r>
        <w:t xml:space="preserve"> at each location is reported to the test equipment and compared to the ground-truth information for verification of positioning accuracy</w:t>
      </w:r>
      <w:r>
        <w:rPr>
          <w:rFonts w:hint="eastAsia" w:eastAsia="宋体"/>
          <w:lang w:val="en-US" w:eastAsia="zh-CN"/>
        </w:rPr>
        <w:t>.</w:t>
      </w:r>
    </w:p>
    <w:p>
      <w:pPr>
        <w:spacing w:before="160" w:beforeLines="50"/>
        <w:jc w:val="both"/>
        <w:rPr>
          <w:rFonts w:hint="eastAsia" w:eastAsia="宋体"/>
          <w:lang w:val="en-US" w:eastAsia="zh-CN"/>
        </w:rPr>
      </w:pPr>
      <w:r>
        <w:rPr>
          <w:rFonts w:hint="eastAsia" w:eastAsia="宋体"/>
          <w:lang w:val="en-US" w:eastAsia="zh-CN"/>
        </w:rPr>
        <w:t>Also, we deem that if UEs have the GNSS capability, they also can be the reference UEs. Based on TR 38.171, the GNSS error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587"/>
        <w:gridCol w:w="1587"/>
        <w:gridCol w:w="1585"/>
        <w:gridCol w:w="1588"/>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spacing w:before="160" w:beforeLines="50"/>
        <w:jc w:val="both"/>
        <w:rPr>
          <w:rFonts w:hint="default" w:eastAsia="宋体"/>
          <w:lang w:val="en-US" w:eastAsia="zh-CN"/>
        </w:rPr>
      </w:pPr>
      <w:r>
        <w:rPr>
          <w:rFonts w:hint="eastAsia" w:eastAsia="宋体"/>
          <w:lang w:val="en-US" w:eastAsia="zh-CN"/>
        </w:rPr>
        <w:t>However, if we choose the reference GNSS UEs, the GNSS error shall be considered when evaluating the AI/ML positioning accuracy error. This kind of ground truth can be discussed.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4: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5: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3: The ground truth can be the PRU and the test map shall be considered. Reference GNSS UEs shall be considered.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before="160" w:beforeLines="50" w:after="120"/>
        <w:jc w:val="both"/>
        <w:rPr>
          <w:rFonts w:hint="default" w:eastAsia="宋体"/>
          <w:b/>
          <w:bCs/>
          <w:szCs w:val="20"/>
          <w:lang w:val="en-US" w:eastAsia="zh-CN"/>
        </w:rPr>
      </w:pPr>
      <w:r>
        <w:rPr>
          <w:rFonts w:hint="eastAsia" w:eastAsia="宋体"/>
          <w:b/>
          <w:bCs/>
          <w:szCs w:val="20"/>
          <w:lang w:val="en-US" w:eastAsia="zh-CN"/>
        </w:rPr>
        <w:t>Observation 1: RAN plenary has already precluded case2a and case2b.</w:t>
      </w:r>
    </w:p>
    <w:p>
      <w:pPr>
        <w:spacing w:before="160" w:beforeLines="50" w:after="120"/>
        <w:jc w:val="both"/>
        <w:rPr>
          <w:rFonts w:hint="default" w:eastAsia="宋体"/>
          <w:b/>
          <w:bCs/>
          <w:szCs w:val="20"/>
          <w:lang w:val="en-US" w:eastAsia="zh-CN"/>
        </w:rPr>
      </w:pPr>
      <w:r>
        <w:rPr>
          <w:rFonts w:hint="eastAsia" w:eastAsia="宋体"/>
          <w:b/>
          <w:bCs/>
          <w:szCs w:val="20"/>
          <w:lang w:val="en-US" w:eastAsia="zh-CN"/>
        </w:rPr>
        <w:t>Proposal 1：RAN4 shall not define any RRM requirements on case 2a and case 2b.</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2</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hint="eastAsia" w:eastAsia="宋体"/>
          <w:b/>
          <w:sz w:val="21"/>
          <w:szCs w:val="21"/>
          <w:lang w:val="en-US" w:eastAsia="zh-CN"/>
        </w:rPr>
      </w:pPr>
      <w:r>
        <w:rPr>
          <w:rFonts w:eastAsia="宋体"/>
          <w:b/>
          <w:sz w:val="21"/>
          <w:szCs w:val="21"/>
          <w:lang w:eastAsia="zh-CN"/>
        </w:rPr>
        <w:t xml:space="preserve">Proposal </w:t>
      </w:r>
      <w:r>
        <w:rPr>
          <w:rFonts w:hint="eastAsia" w:eastAsia="宋体"/>
          <w:b/>
          <w:sz w:val="21"/>
          <w:szCs w:val="21"/>
          <w:lang w:val="en-US" w:eastAsia="zh-CN"/>
        </w:rPr>
        <w:t>2</w:t>
      </w:r>
      <w:r>
        <w:rPr>
          <w:rFonts w:eastAsia="宋体"/>
          <w:b/>
          <w:sz w:val="21"/>
          <w:szCs w:val="21"/>
          <w:lang w:eastAsia="zh-CN"/>
        </w:rPr>
        <w:t xml:space="preserve">: </w:t>
      </w:r>
      <w:r>
        <w:rPr>
          <w:rFonts w:hint="eastAsia" w:eastAsia="宋体"/>
          <w:b/>
          <w:sz w:val="21"/>
          <w:szCs w:val="21"/>
          <w:lang w:val="en-US" w:eastAsia="zh-CN"/>
        </w:rPr>
        <w:t>If RAN1 has the agreement on the reporting scheme can use the legacy location request, there are two options here:</w:t>
      </w:r>
    </w:p>
    <w:p>
      <w:pPr>
        <w:ind w:left="420" w:leftChars="0" w:firstLine="420" w:firstLineChars="0"/>
        <w:jc w:val="both"/>
        <w:rPr>
          <w:rFonts w:hint="eastAsia" w:eastAsia="宋体"/>
          <w:b/>
          <w:sz w:val="21"/>
          <w:szCs w:val="21"/>
          <w:lang w:val="en-US" w:eastAsia="zh-CN"/>
        </w:rPr>
      </w:pPr>
      <w:r>
        <w:rPr>
          <w:rFonts w:hint="eastAsia" w:eastAsia="宋体"/>
          <w:b/>
          <w:sz w:val="21"/>
          <w:szCs w:val="21"/>
          <w:lang w:val="en-US" w:eastAsia="zh-CN"/>
        </w:rPr>
        <w:t>Option 1: If it is NW-triggered location request, UE shall report its location and the report requirements shall be confirmed.</w:t>
      </w:r>
    </w:p>
    <w:p>
      <w:pPr>
        <w:ind w:left="420" w:leftChars="0" w:firstLine="420" w:firstLineChars="0"/>
        <w:jc w:val="both"/>
        <w:rPr>
          <w:rFonts w:hint="default" w:eastAsia="宋体"/>
          <w:b/>
          <w:sz w:val="21"/>
          <w:szCs w:val="21"/>
          <w:lang w:val="en-US" w:eastAsia="zh-CN"/>
        </w:rPr>
      </w:pPr>
      <w:r>
        <w:rPr>
          <w:rFonts w:hint="eastAsia" w:eastAsia="宋体"/>
          <w:b/>
          <w:sz w:val="21"/>
          <w:szCs w:val="21"/>
          <w:lang w:val="en-US" w:eastAsia="zh-CN"/>
        </w:rPr>
        <w:t>Option 2: If it is UE-triggered location request, it is no need to report the location to NW which is up to UE implementation.</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3: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4: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5: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eastAsia="宋体"/>
          <w:bCs/>
          <w:szCs w:val="20"/>
          <w:lang w:val="en-GB" w:eastAsia="zh-CN"/>
        </w:rPr>
      </w:pPr>
      <w:r>
        <w:rPr>
          <w:rFonts w:hint="eastAsia" w:eastAsia="宋体"/>
          <w:b/>
          <w:bCs/>
          <w:lang w:val="en-US" w:eastAsia="zh-CN"/>
        </w:rPr>
        <w:t>Proposal 3: The ground truth can be the PRU and the test map shall be considered. Reference GNSS UEs shall be considered.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10"/>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10"/>
        </w:numPr>
        <w:ind w:left="0" w:leftChars="0" w:firstLine="0" w:firstLineChars="0"/>
        <w:rPr>
          <w:rFonts w:hint="eastAsia"/>
          <w:lang w:val="en-US"/>
        </w:rPr>
      </w:pPr>
      <w:r>
        <w:rPr>
          <w:rFonts w:hint="eastAsia"/>
          <w:lang w:val="en-US"/>
        </w:rPr>
        <w:t xml:space="preserve">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10"/>
        </w:numPr>
        <w:ind w:left="0" w:leftChars="0" w:firstLine="0" w:firstLineChars="0"/>
        <w:rPr>
          <w:rFonts w:hint="eastAsia"/>
          <w:lang w:val="en-US"/>
        </w:rPr>
      </w:pPr>
      <w:r>
        <w:rPr>
          <w:rFonts w:hint="eastAsia"/>
          <w:lang w:val="en-US" w:eastAsia="zh-CN"/>
        </w:rPr>
        <w:t xml:space="preserve">R4-2505105, </w:t>
      </w:r>
      <w:r>
        <w:rPr>
          <w:rFonts w:hint="default"/>
          <w:lang w:val="en-US" w:eastAsia="zh-CN"/>
        </w:rPr>
        <w:t>“</w:t>
      </w:r>
      <w:r>
        <w:rPr>
          <w:rFonts w:hint="eastAsia"/>
          <w:lang w:val="en-US" w:eastAsia="zh-CN"/>
        </w:rPr>
        <w:t>WF on requirements for AI/ML air interface normative work</w:t>
      </w:r>
      <w:r>
        <w:rPr>
          <w:rFonts w:hint="default"/>
          <w:lang w:val="en-US" w:eastAsia="zh-CN"/>
        </w:rPr>
        <w:t>”</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0B0BFB"/>
    <w:multiLevelType w:val="multilevel"/>
    <w:tmpl w:val="180B0B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F771A52"/>
    <w:multiLevelType w:val="multilevel"/>
    <w:tmpl w:val="2F771A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3784BD5"/>
    <w:multiLevelType w:val="multilevel"/>
    <w:tmpl w:val="63784BD5"/>
    <w:lvl w:ilvl="0" w:tentative="0">
      <w:start w:val="1"/>
      <w:numFmt w:val="bullet"/>
      <w:lvlText w:val="o"/>
      <w:lvlJc w:val="left"/>
      <w:pPr>
        <w:ind w:left="1520" w:hanging="440"/>
      </w:pPr>
      <w:rPr>
        <w:rFonts w:hint="default" w:ascii="Courier New" w:hAnsi="Courier New" w:cs="Courier New"/>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8">
    <w:nsid w:val="6A94738A"/>
    <w:multiLevelType w:val="multilevel"/>
    <w:tmpl w:val="6A94738A"/>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4"/>
  </w:num>
  <w:num w:numId="3">
    <w:abstractNumId w:val="2"/>
  </w:num>
  <w:num w:numId="4">
    <w:abstractNumId w:val="5"/>
  </w:num>
  <w:num w:numId="5">
    <w:abstractNumId w:val="6"/>
  </w:num>
  <w:num w:numId="6">
    <w:abstractNumId w:val="1"/>
  </w:num>
  <w:num w:numId="7">
    <w:abstractNumId w:val="3"/>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C2F86"/>
    <w:rsid w:val="06FC49F0"/>
    <w:rsid w:val="07036991"/>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5A2537"/>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C75796"/>
    <w:rsid w:val="0AD41779"/>
    <w:rsid w:val="0ADF38CC"/>
    <w:rsid w:val="0AEF7908"/>
    <w:rsid w:val="0AF26DD3"/>
    <w:rsid w:val="0AF51CDA"/>
    <w:rsid w:val="0B12013A"/>
    <w:rsid w:val="0B152F53"/>
    <w:rsid w:val="0B165C86"/>
    <w:rsid w:val="0B210227"/>
    <w:rsid w:val="0B2230CC"/>
    <w:rsid w:val="0B247217"/>
    <w:rsid w:val="0B3D3C2F"/>
    <w:rsid w:val="0B4B42E4"/>
    <w:rsid w:val="0B6D7260"/>
    <w:rsid w:val="0B7B7DE4"/>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D7334"/>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463FD"/>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D579BD"/>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EF1130"/>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51BF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9699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6D3831"/>
    <w:rsid w:val="1E7C624E"/>
    <w:rsid w:val="1E853F6F"/>
    <w:rsid w:val="1E9C7BCC"/>
    <w:rsid w:val="1EB139D4"/>
    <w:rsid w:val="1EC06DEC"/>
    <w:rsid w:val="1EC70A5A"/>
    <w:rsid w:val="1ECC1E3C"/>
    <w:rsid w:val="1ED53D9A"/>
    <w:rsid w:val="1EDF6033"/>
    <w:rsid w:val="1EED3918"/>
    <w:rsid w:val="1EF5204B"/>
    <w:rsid w:val="1EF91970"/>
    <w:rsid w:val="1F0B13E0"/>
    <w:rsid w:val="1F5772F6"/>
    <w:rsid w:val="1F6D55FC"/>
    <w:rsid w:val="1F804FA9"/>
    <w:rsid w:val="1F9658BC"/>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634537"/>
    <w:rsid w:val="218E4FF0"/>
    <w:rsid w:val="219342A7"/>
    <w:rsid w:val="21A04464"/>
    <w:rsid w:val="21AC29DE"/>
    <w:rsid w:val="21BA2A3F"/>
    <w:rsid w:val="21E4036A"/>
    <w:rsid w:val="21F13629"/>
    <w:rsid w:val="21FC3606"/>
    <w:rsid w:val="220527FD"/>
    <w:rsid w:val="2208232E"/>
    <w:rsid w:val="22322E8D"/>
    <w:rsid w:val="223236B6"/>
    <w:rsid w:val="223973AB"/>
    <w:rsid w:val="224540FE"/>
    <w:rsid w:val="2255462C"/>
    <w:rsid w:val="225B3D6B"/>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570B8C"/>
    <w:rsid w:val="2881222E"/>
    <w:rsid w:val="288750C4"/>
    <w:rsid w:val="289A2137"/>
    <w:rsid w:val="28BE2445"/>
    <w:rsid w:val="28FD0FCB"/>
    <w:rsid w:val="291907AC"/>
    <w:rsid w:val="292570BF"/>
    <w:rsid w:val="294F10B8"/>
    <w:rsid w:val="295900F2"/>
    <w:rsid w:val="29642C4B"/>
    <w:rsid w:val="296479C4"/>
    <w:rsid w:val="296F5C26"/>
    <w:rsid w:val="29753089"/>
    <w:rsid w:val="297536EC"/>
    <w:rsid w:val="297F37FA"/>
    <w:rsid w:val="298E5A74"/>
    <w:rsid w:val="299B7242"/>
    <w:rsid w:val="29A254E4"/>
    <w:rsid w:val="29B10C4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CB7486"/>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2C34A8"/>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C70353"/>
    <w:rsid w:val="34D41F3D"/>
    <w:rsid w:val="352E1016"/>
    <w:rsid w:val="355065CB"/>
    <w:rsid w:val="355931F7"/>
    <w:rsid w:val="35644315"/>
    <w:rsid w:val="35712D5D"/>
    <w:rsid w:val="35B06C6A"/>
    <w:rsid w:val="35B66242"/>
    <w:rsid w:val="35C032BE"/>
    <w:rsid w:val="35C06303"/>
    <w:rsid w:val="35C54989"/>
    <w:rsid w:val="3602087F"/>
    <w:rsid w:val="363650FE"/>
    <w:rsid w:val="363A5F84"/>
    <w:rsid w:val="36400700"/>
    <w:rsid w:val="366149EB"/>
    <w:rsid w:val="36941AA2"/>
    <w:rsid w:val="36A01675"/>
    <w:rsid w:val="36B85C99"/>
    <w:rsid w:val="36D37423"/>
    <w:rsid w:val="36ED4EA7"/>
    <w:rsid w:val="370A755C"/>
    <w:rsid w:val="37311A98"/>
    <w:rsid w:val="37353742"/>
    <w:rsid w:val="373D66F9"/>
    <w:rsid w:val="37696A79"/>
    <w:rsid w:val="3770781E"/>
    <w:rsid w:val="378B7D61"/>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477387"/>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AB2D31"/>
    <w:rsid w:val="3BBD05A5"/>
    <w:rsid w:val="3BC26AB2"/>
    <w:rsid w:val="3BCB73E9"/>
    <w:rsid w:val="3BF6321E"/>
    <w:rsid w:val="3C086B8B"/>
    <w:rsid w:val="3C373BE3"/>
    <w:rsid w:val="3C4810DA"/>
    <w:rsid w:val="3C4D7ECE"/>
    <w:rsid w:val="3C55216B"/>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08142B"/>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0020"/>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2D1D69"/>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41BF4"/>
    <w:rsid w:val="45DD622C"/>
    <w:rsid w:val="45F60A50"/>
    <w:rsid w:val="45FF6B20"/>
    <w:rsid w:val="460F6C8C"/>
    <w:rsid w:val="46142D0C"/>
    <w:rsid w:val="46162231"/>
    <w:rsid w:val="46263A53"/>
    <w:rsid w:val="46276E36"/>
    <w:rsid w:val="464175A3"/>
    <w:rsid w:val="46492FB1"/>
    <w:rsid w:val="46666274"/>
    <w:rsid w:val="46666F86"/>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5B1A7C"/>
    <w:rsid w:val="486275F8"/>
    <w:rsid w:val="48672BF6"/>
    <w:rsid w:val="48842109"/>
    <w:rsid w:val="4896657D"/>
    <w:rsid w:val="48BE1B68"/>
    <w:rsid w:val="48F407FD"/>
    <w:rsid w:val="49000053"/>
    <w:rsid w:val="4921106B"/>
    <w:rsid w:val="492F5C5D"/>
    <w:rsid w:val="494001B9"/>
    <w:rsid w:val="49603601"/>
    <w:rsid w:val="496838F6"/>
    <w:rsid w:val="496C17CB"/>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C73BA5"/>
    <w:rsid w:val="4ADD46D9"/>
    <w:rsid w:val="4AE37AB9"/>
    <w:rsid w:val="4AE97256"/>
    <w:rsid w:val="4AEB77F6"/>
    <w:rsid w:val="4AEC108F"/>
    <w:rsid w:val="4B0337B8"/>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CFA0BEC"/>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AC7985"/>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127B73"/>
    <w:rsid w:val="51275155"/>
    <w:rsid w:val="51285E95"/>
    <w:rsid w:val="512C17E2"/>
    <w:rsid w:val="51524753"/>
    <w:rsid w:val="515B1740"/>
    <w:rsid w:val="516F1A0F"/>
    <w:rsid w:val="5173296C"/>
    <w:rsid w:val="51797CE2"/>
    <w:rsid w:val="519112DC"/>
    <w:rsid w:val="51975E97"/>
    <w:rsid w:val="51A3627A"/>
    <w:rsid w:val="51A71634"/>
    <w:rsid w:val="51B14BED"/>
    <w:rsid w:val="51DB3C59"/>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591FD4"/>
    <w:rsid w:val="536B679F"/>
    <w:rsid w:val="537012AB"/>
    <w:rsid w:val="537A7588"/>
    <w:rsid w:val="539B603E"/>
    <w:rsid w:val="53A3105E"/>
    <w:rsid w:val="53BD686C"/>
    <w:rsid w:val="53C64B93"/>
    <w:rsid w:val="54057172"/>
    <w:rsid w:val="541B603F"/>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AE3377"/>
    <w:rsid w:val="56B46513"/>
    <w:rsid w:val="56BC50AE"/>
    <w:rsid w:val="56D15113"/>
    <w:rsid w:val="56D4654E"/>
    <w:rsid w:val="56D5378B"/>
    <w:rsid w:val="56ED38C9"/>
    <w:rsid w:val="57055AD1"/>
    <w:rsid w:val="574349A4"/>
    <w:rsid w:val="574D7300"/>
    <w:rsid w:val="57562887"/>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C2E85"/>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545FDB"/>
    <w:rsid w:val="6058513D"/>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3485D"/>
    <w:rsid w:val="616A0BCB"/>
    <w:rsid w:val="617414DF"/>
    <w:rsid w:val="61955A2F"/>
    <w:rsid w:val="619931C4"/>
    <w:rsid w:val="61A01626"/>
    <w:rsid w:val="61B34454"/>
    <w:rsid w:val="61CC2D28"/>
    <w:rsid w:val="61D25C9C"/>
    <w:rsid w:val="61F47053"/>
    <w:rsid w:val="62095E3C"/>
    <w:rsid w:val="6212094E"/>
    <w:rsid w:val="622C151B"/>
    <w:rsid w:val="623069FA"/>
    <w:rsid w:val="627C2FDE"/>
    <w:rsid w:val="62854DD6"/>
    <w:rsid w:val="62923DE5"/>
    <w:rsid w:val="62924BD7"/>
    <w:rsid w:val="629F7EC0"/>
    <w:rsid w:val="62CA0D0A"/>
    <w:rsid w:val="62E22CD4"/>
    <w:rsid w:val="62FA4629"/>
    <w:rsid w:val="63143D77"/>
    <w:rsid w:val="63327CCE"/>
    <w:rsid w:val="635902CD"/>
    <w:rsid w:val="636448F7"/>
    <w:rsid w:val="6386572E"/>
    <w:rsid w:val="63D15F09"/>
    <w:rsid w:val="63D8564E"/>
    <w:rsid w:val="63DA1C8E"/>
    <w:rsid w:val="642E46BB"/>
    <w:rsid w:val="64602BDC"/>
    <w:rsid w:val="64690054"/>
    <w:rsid w:val="64706BBE"/>
    <w:rsid w:val="64800D38"/>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5F176D7"/>
    <w:rsid w:val="66023510"/>
    <w:rsid w:val="663C33E7"/>
    <w:rsid w:val="664F7CE7"/>
    <w:rsid w:val="665F2DAE"/>
    <w:rsid w:val="66621C02"/>
    <w:rsid w:val="666256C3"/>
    <w:rsid w:val="66770FD9"/>
    <w:rsid w:val="66A00FA4"/>
    <w:rsid w:val="66C95231"/>
    <w:rsid w:val="66D47411"/>
    <w:rsid w:val="66ED2A44"/>
    <w:rsid w:val="673059BF"/>
    <w:rsid w:val="673E5E65"/>
    <w:rsid w:val="673E6FCE"/>
    <w:rsid w:val="677C6FB7"/>
    <w:rsid w:val="679272CF"/>
    <w:rsid w:val="67956AC5"/>
    <w:rsid w:val="67A858DB"/>
    <w:rsid w:val="67E625EB"/>
    <w:rsid w:val="67EC307A"/>
    <w:rsid w:val="67FE4166"/>
    <w:rsid w:val="68070F5D"/>
    <w:rsid w:val="681810C8"/>
    <w:rsid w:val="682048A9"/>
    <w:rsid w:val="6825574C"/>
    <w:rsid w:val="682A1D79"/>
    <w:rsid w:val="68425CDE"/>
    <w:rsid w:val="68500343"/>
    <w:rsid w:val="68780D60"/>
    <w:rsid w:val="68807533"/>
    <w:rsid w:val="68863D3E"/>
    <w:rsid w:val="68874000"/>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AD74D8"/>
    <w:rsid w:val="6FEC46D5"/>
    <w:rsid w:val="6FFF1868"/>
    <w:rsid w:val="7007017A"/>
    <w:rsid w:val="700E668F"/>
    <w:rsid w:val="702C760F"/>
    <w:rsid w:val="7040745F"/>
    <w:rsid w:val="704F7CB8"/>
    <w:rsid w:val="70614E9E"/>
    <w:rsid w:val="706A4DD4"/>
    <w:rsid w:val="70773A33"/>
    <w:rsid w:val="708766CE"/>
    <w:rsid w:val="70EE3ABE"/>
    <w:rsid w:val="70FA444A"/>
    <w:rsid w:val="710B67E7"/>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D379D6"/>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2C6D48"/>
    <w:rsid w:val="7435388C"/>
    <w:rsid w:val="74461562"/>
    <w:rsid w:val="74612C2A"/>
    <w:rsid w:val="74660D61"/>
    <w:rsid w:val="74695E4F"/>
    <w:rsid w:val="74A356B2"/>
    <w:rsid w:val="74AE4A59"/>
    <w:rsid w:val="74E16B09"/>
    <w:rsid w:val="74E63259"/>
    <w:rsid w:val="74F856E8"/>
    <w:rsid w:val="75143273"/>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4E16D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86544"/>
    <w:rsid w:val="7A1C0596"/>
    <w:rsid w:val="7A223B52"/>
    <w:rsid w:val="7A527AA6"/>
    <w:rsid w:val="7A5358BD"/>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0B69E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670D80"/>
    <w:rsid w:val="7F7B3BE0"/>
    <w:rsid w:val="7F8442A1"/>
    <w:rsid w:val="7FB9625D"/>
    <w:rsid w:val="7FC76D8A"/>
    <w:rsid w:val="7FC90A85"/>
    <w:rsid w:val="7FCA4E23"/>
    <w:rsid w:val="7FD02878"/>
    <w:rsid w:val="7FE947D9"/>
    <w:rsid w:val="7FF03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2025-05-09T13:01:30Z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